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7C" w:rsidRPr="00B618BD" w:rsidRDefault="00B618BD" w:rsidP="00B618BD">
      <w:pPr>
        <w:jc w:val="center"/>
        <w:rPr>
          <w:b/>
          <w:sz w:val="32"/>
          <w:szCs w:val="32"/>
          <w:u w:val="single"/>
        </w:rPr>
      </w:pPr>
      <w:r w:rsidRPr="00B618BD">
        <w:rPr>
          <w:b/>
          <w:sz w:val="32"/>
          <w:szCs w:val="32"/>
          <w:u w:val="single"/>
        </w:rPr>
        <w:t>Summary of Land Acquisition Agreements</w:t>
      </w:r>
    </w:p>
    <w:p w:rsidR="006959ED" w:rsidRPr="00D37D77" w:rsidRDefault="00B618BD">
      <w:pPr>
        <w:rPr>
          <w:sz w:val="24"/>
          <w:szCs w:val="24"/>
        </w:rPr>
      </w:pPr>
      <w:r w:rsidRPr="00D37D77">
        <w:rPr>
          <w:sz w:val="24"/>
          <w:szCs w:val="24"/>
        </w:rPr>
        <w:t>The City of Detroit has agreements to assemble approximately 2</w:t>
      </w:r>
      <w:r w:rsidR="00750C7E">
        <w:rPr>
          <w:sz w:val="24"/>
          <w:szCs w:val="24"/>
        </w:rPr>
        <w:t>15</w:t>
      </w:r>
      <w:r w:rsidRPr="00D37D77">
        <w:rPr>
          <w:sz w:val="24"/>
          <w:szCs w:val="24"/>
        </w:rPr>
        <w:t xml:space="preserve"> acres of land for the FCA Assembly Plant project.  To the maximum extent possible, the city </w:t>
      </w:r>
      <w:r w:rsidR="006959ED" w:rsidRPr="00D37D77">
        <w:rPr>
          <w:sz w:val="24"/>
          <w:szCs w:val="24"/>
        </w:rPr>
        <w:t>swapped vacant city-owned land for land in the FCA project area in order to reduce the cash needed.</w:t>
      </w:r>
    </w:p>
    <w:p w:rsidR="006959ED" w:rsidRPr="00D37D77" w:rsidRDefault="006959ED">
      <w:pPr>
        <w:rPr>
          <w:sz w:val="24"/>
          <w:szCs w:val="24"/>
        </w:rPr>
      </w:pPr>
      <w:r w:rsidRPr="00D37D77">
        <w:rPr>
          <w:sz w:val="24"/>
          <w:szCs w:val="24"/>
        </w:rPr>
        <w:t>In total, the agreements provide for 155 ac</w:t>
      </w:r>
      <w:bookmarkStart w:id="0" w:name="_GoBack"/>
      <w:bookmarkEnd w:id="0"/>
      <w:r w:rsidRPr="00D37D77">
        <w:rPr>
          <w:sz w:val="24"/>
          <w:szCs w:val="24"/>
        </w:rPr>
        <w:t>res of city-owned land to be swapped and $48 million of cash to be used in the acquisition of the 214.6 acres.</w:t>
      </w:r>
    </w:p>
    <w:p w:rsidR="006959ED" w:rsidRPr="00D37D77" w:rsidRDefault="006959ED">
      <w:pPr>
        <w:rPr>
          <w:sz w:val="24"/>
          <w:szCs w:val="24"/>
        </w:rPr>
      </w:pPr>
      <w:r w:rsidRPr="00D37D77">
        <w:rPr>
          <w:sz w:val="24"/>
          <w:szCs w:val="24"/>
        </w:rPr>
        <w:t>In addition, the City and State have agreed to environmental clean-up and site preparation and improvement costs of $60 million.</w:t>
      </w:r>
    </w:p>
    <w:p w:rsidR="006959ED" w:rsidRPr="00D37D77" w:rsidRDefault="006959ED">
      <w:pPr>
        <w:rPr>
          <w:sz w:val="24"/>
          <w:szCs w:val="24"/>
        </w:rPr>
      </w:pPr>
      <w:r w:rsidRPr="00D37D77">
        <w:rPr>
          <w:sz w:val="24"/>
          <w:szCs w:val="24"/>
        </w:rPr>
        <w:t>The total land acquisition and site preparation an</w:t>
      </w:r>
      <w:r w:rsidR="0081129A" w:rsidRPr="00D37D77">
        <w:rPr>
          <w:sz w:val="24"/>
          <w:szCs w:val="24"/>
        </w:rPr>
        <w:t xml:space="preserve">d improvement commitment is </w:t>
      </w:r>
      <w:r w:rsidR="00750C7E">
        <w:rPr>
          <w:sz w:val="24"/>
          <w:szCs w:val="24"/>
        </w:rPr>
        <w:t xml:space="preserve">approximately </w:t>
      </w:r>
      <w:r w:rsidR="0081129A" w:rsidRPr="00D37D77">
        <w:rPr>
          <w:sz w:val="24"/>
          <w:szCs w:val="24"/>
        </w:rPr>
        <w:t>$108</w:t>
      </w:r>
      <w:r w:rsidRPr="00D37D77">
        <w:rPr>
          <w:sz w:val="24"/>
          <w:szCs w:val="24"/>
        </w:rPr>
        <w:t xml:space="preserve"> million in cash and 155 acres of city-owned property.</w:t>
      </w:r>
    </w:p>
    <w:tbl>
      <w:tblPr>
        <w:tblW w:w="8944" w:type="dxa"/>
        <w:tblLook w:val="04A0" w:firstRow="1" w:lastRow="0" w:firstColumn="1" w:lastColumn="0" w:noHBand="0" w:noVBand="1"/>
      </w:tblPr>
      <w:tblGrid>
        <w:gridCol w:w="1560"/>
        <w:gridCol w:w="4380"/>
        <w:gridCol w:w="1080"/>
        <w:gridCol w:w="954"/>
        <w:gridCol w:w="970"/>
      </w:tblGrid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Land Swaps</w:t>
            </w:r>
          </w:p>
        </w:tc>
      </w:tr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Site Acreage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Owner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Cash</w:t>
            </w:r>
            <w:r w:rsidR="00750C7E">
              <w:rPr>
                <w:rFonts w:ascii="Calibri" w:eastAsia="Times New Roman" w:hAnsi="Calibri" w:cs="Arial"/>
                <w:b/>
                <w:bCs/>
              </w:rPr>
              <w:t xml:space="preserve"> ($M</w:t>
            </w:r>
            <w:r w:rsidR="00330B6C">
              <w:rPr>
                <w:rFonts w:ascii="Calibri" w:eastAsia="Times New Roman" w:hAnsi="Calibri" w:cs="Arial"/>
                <w:b/>
                <w:bCs/>
              </w:rPr>
              <w:t>M</w:t>
            </w:r>
            <w:r w:rsidR="00750C7E">
              <w:rPr>
                <w:rFonts w:ascii="Calibri" w:eastAsia="Times New Roman" w:hAnsi="Calibri" w:cs="Arial"/>
                <w:b/>
                <w:bCs/>
              </w:rPr>
              <w:t>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Acreage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Value</w:t>
            </w:r>
          </w:p>
        </w:tc>
      </w:tr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55.6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City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$1.0</w:t>
            </w:r>
          </w:p>
        </w:tc>
      </w:tr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41.4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DTE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25.1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$3.6</w:t>
            </w:r>
          </w:p>
        </w:tc>
      </w:tr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10.8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Great Lakes Water Authority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</w:tr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5.3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Soave Enterprises LLC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$0.1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9.5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$0.3</w:t>
            </w:r>
          </w:p>
        </w:tc>
      </w:tr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3.9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5E2F7C">
              <w:rPr>
                <w:rFonts w:ascii="Calibri" w:eastAsia="Times New Roman" w:hAnsi="Calibri" w:cs="Arial"/>
              </w:rPr>
              <w:t>Hantz</w:t>
            </w:r>
            <w:proofErr w:type="spellEnd"/>
            <w:r w:rsidRPr="005E2F7C">
              <w:rPr>
                <w:rFonts w:ascii="Calibri" w:eastAsia="Times New Roman" w:hAnsi="Calibri" w:cs="Arial"/>
              </w:rPr>
              <w:t xml:space="preserve"> Group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1.7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$0.0</w:t>
            </w:r>
          </w:p>
        </w:tc>
      </w:tr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0.1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Detroit Public Community School District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$0.01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</w:tr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82.2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Crown Enterprises, Inc.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$43.5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$10.5</w:t>
            </w:r>
          </w:p>
        </w:tc>
      </w:tr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6.9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Conrail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$0.5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</w:tr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8.1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5E2F7C">
              <w:rPr>
                <w:rFonts w:ascii="Calibri" w:eastAsia="Times New Roman" w:hAnsi="Calibri" w:cs="Arial"/>
              </w:rPr>
              <w:t>Yahiahan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</w:tr>
      <w:tr w:rsidR="005E2F7C" w:rsidRPr="005E2F7C" w:rsidTr="00D37D7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0.3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Kelly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1.4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$0.0</w:t>
            </w:r>
          </w:p>
        </w:tc>
      </w:tr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214.6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Acquisition 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$48.1</w:t>
            </w:r>
            <w:r w:rsidR="00F75913">
              <w:rPr>
                <w:rFonts w:ascii="Calibri" w:eastAsia="Times New Roman" w:hAnsi="Calibri" w:cs="Arial"/>
                <w:b/>
                <w:bCs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154.7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750C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$15.</w:t>
            </w:r>
            <w:r w:rsidR="00750C7E">
              <w:rPr>
                <w:rFonts w:ascii="Calibri" w:eastAsia="Times New Roman" w:hAnsi="Calibri" w:cs="Arial"/>
                <w:b/>
                <w:bCs/>
              </w:rPr>
              <w:t>4</w:t>
            </w:r>
          </w:p>
        </w:tc>
      </w:tr>
      <w:tr w:rsidR="005E2F7C" w:rsidRPr="005E2F7C" w:rsidTr="00D37D7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Site Preparation and Other Project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$59.5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E2F7C">
              <w:rPr>
                <w:rFonts w:ascii="Calibri" w:eastAsia="Times New Roman" w:hAnsi="Calibri" w:cs="Arial"/>
              </w:rPr>
              <w:t> </w:t>
            </w:r>
          </w:p>
        </w:tc>
      </w:tr>
      <w:tr w:rsidR="005E2F7C" w:rsidRPr="005E2F7C" w:rsidTr="00D37D77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$107.6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F7C" w:rsidRPr="005E2F7C" w:rsidRDefault="005E2F7C" w:rsidP="005E2F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E2F7C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</w:tbl>
    <w:p w:rsidR="006959ED" w:rsidRDefault="006959ED"/>
    <w:p w:rsidR="006959ED" w:rsidRDefault="006959ED"/>
    <w:p w:rsidR="006959ED" w:rsidRDefault="006959ED"/>
    <w:p w:rsidR="006959ED" w:rsidRDefault="006959ED"/>
    <w:p w:rsidR="006959ED" w:rsidRDefault="006959ED"/>
    <w:p w:rsidR="006959ED" w:rsidRDefault="006959ED"/>
    <w:p w:rsidR="00D37D77" w:rsidRDefault="00D37D77"/>
    <w:p w:rsidR="005E2F7C" w:rsidRDefault="005E2F7C">
      <w:pPr>
        <w:rPr>
          <w:b/>
          <w:sz w:val="32"/>
          <w:szCs w:val="32"/>
          <w:u w:val="single"/>
        </w:rPr>
      </w:pPr>
    </w:p>
    <w:p w:rsidR="005E2F7C" w:rsidRDefault="005E2F7C">
      <w:pPr>
        <w:rPr>
          <w:b/>
          <w:sz w:val="32"/>
          <w:szCs w:val="32"/>
          <w:u w:val="single"/>
        </w:rPr>
      </w:pPr>
    </w:p>
    <w:p w:rsidR="00CF3444" w:rsidRDefault="00637C47" w:rsidP="00CF3444">
      <w:pPr>
        <w:jc w:val="center"/>
        <w:rPr>
          <w:b/>
          <w:sz w:val="32"/>
          <w:szCs w:val="32"/>
          <w:u w:val="single"/>
        </w:rPr>
      </w:pPr>
      <w:r w:rsidRPr="00B618BD">
        <w:rPr>
          <w:b/>
          <w:sz w:val="32"/>
          <w:szCs w:val="32"/>
          <w:u w:val="single"/>
        </w:rPr>
        <w:lastRenderedPageBreak/>
        <w:t>Summar</w:t>
      </w:r>
      <w:r w:rsidR="00300BF7">
        <w:rPr>
          <w:b/>
          <w:sz w:val="32"/>
          <w:szCs w:val="32"/>
          <w:u w:val="single"/>
        </w:rPr>
        <w:t xml:space="preserve">y of </w:t>
      </w:r>
      <w:r w:rsidR="0081129A">
        <w:rPr>
          <w:b/>
          <w:sz w:val="32"/>
          <w:szCs w:val="32"/>
          <w:u w:val="single"/>
        </w:rPr>
        <w:t>$10</w:t>
      </w:r>
      <w:r w:rsidR="00CF3444">
        <w:rPr>
          <w:b/>
          <w:sz w:val="32"/>
          <w:szCs w:val="32"/>
          <w:u w:val="single"/>
        </w:rPr>
        <w:t>7.6</w:t>
      </w:r>
      <w:r w:rsidR="00300BF7">
        <w:rPr>
          <w:b/>
          <w:sz w:val="32"/>
          <w:szCs w:val="32"/>
          <w:u w:val="single"/>
        </w:rPr>
        <w:t xml:space="preserve"> Million Land Acquisition</w:t>
      </w:r>
    </w:p>
    <w:p w:rsidR="00300BF7" w:rsidRDefault="00300BF7" w:rsidP="00CF3444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and</w:t>
      </w:r>
      <w:proofErr w:type="gramEnd"/>
      <w:r>
        <w:rPr>
          <w:b/>
          <w:sz w:val="32"/>
          <w:szCs w:val="32"/>
          <w:u w:val="single"/>
        </w:rPr>
        <w:t xml:space="preserve"> Improvement Funding</w:t>
      </w:r>
    </w:p>
    <w:p w:rsidR="00CF3444" w:rsidRDefault="00CF3444" w:rsidP="00CF3444">
      <w:pPr>
        <w:jc w:val="center"/>
        <w:rPr>
          <w:b/>
          <w:sz w:val="32"/>
          <w:szCs w:val="32"/>
          <w:u w:val="single"/>
        </w:rPr>
      </w:pPr>
    </w:p>
    <w:p w:rsidR="005E2F7C" w:rsidRDefault="00637C47">
      <w:pPr>
        <w:rPr>
          <w:sz w:val="24"/>
          <w:szCs w:val="24"/>
        </w:rPr>
      </w:pPr>
      <w:r w:rsidRPr="00637C47">
        <w:rPr>
          <w:sz w:val="24"/>
          <w:szCs w:val="24"/>
        </w:rPr>
        <w:t xml:space="preserve"> </w:t>
      </w:r>
      <w:r w:rsidR="00300BF7">
        <w:rPr>
          <w:sz w:val="24"/>
          <w:szCs w:val="24"/>
        </w:rPr>
        <w:tab/>
      </w:r>
      <w:r w:rsidR="006959ED" w:rsidRPr="00637C47">
        <w:rPr>
          <w:sz w:val="24"/>
          <w:szCs w:val="24"/>
        </w:rPr>
        <w:t xml:space="preserve">The </w:t>
      </w:r>
      <w:r w:rsidR="0081129A">
        <w:rPr>
          <w:sz w:val="24"/>
          <w:szCs w:val="24"/>
        </w:rPr>
        <w:t>sources of that $108</w:t>
      </w:r>
      <w:r w:rsidR="006959ED" w:rsidRPr="00637C47">
        <w:rPr>
          <w:sz w:val="24"/>
          <w:szCs w:val="24"/>
        </w:rPr>
        <w:t xml:space="preserve"> million are as follows:</w:t>
      </w:r>
    </w:p>
    <w:tbl>
      <w:tblPr>
        <w:tblW w:w="8140" w:type="dxa"/>
        <w:tblLook w:val="04A0" w:firstRow="1" w:lastRow="0" w:firstColumn="1" w:lastColumn="0" w:noHBand="0" w:noVBand="1"/>
      </w:tblPr>
      <w:tblGrid>
        <w:gridCol w:w="7200"/>
        <w:gridCol w:w="940"/>
      </w:tblGrid>
      <w:tr w:rsidR="00D37D77" w:rsidRPr="00D37D77" w:rsidTr="00D37D77">
        <w:trPr>
          <w:trHeight w:val="288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37D77">
              <w:rPr>
                <w:rFonts w:ascii="Calibri" w:eastAsia="Times New Roman" w:hAnsi="Calibri" w:cs="Arial"/>
              </w:rPr>
              <w:t>Detroit Uncommitted Bond Funds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37D77">
              <w:rPr>
                <w:rFonts w:ascii="Calibri" w:eastAsia="Times New Roman" w:hAnsi="Calibri" w:cs="Arial"/>
              </w:rPr>
              <w:t>$36.0</w:t>
            </w:r>
          </w:p>
        </w:tc>
      </w:tr>
      <w:tr w:rsidR="00D37D77" w:rsidRPr="00D37D77" w:rsidTr="00D37D77">
        <w:trPr>
          <w:trHeight w:val="288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37D77">
              <w:rPr>
                <w:rFonts w:ascii="Calibri" w:eastAsia="Times New Roman" w:hAnsi="Calibri" w:cs="Arial"/>
              </w:rPr>
              <w:t>Detroit Loan to Detroit Brownfield Development Authority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37D77">
              <w:rPr>
                <w:rFonts w:ascii="Calibri" w:eastAsia="Times New Roman" w:hAnsi="Calibri" w:cs="Arial"/>
              </w:rPr>
              <w:t>$7.5</w:t>
            </w:r>
          </w:p>
        </w:tc>
      </w:tr>
      <w:tr w:rsidR="00D37D77" w:rsidRPr="00D37D77" w:rsidTr="00D37D77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37D77">
              <w:rPr>
                <w:rFonts w:ascii="Calibri" w:eastAsia="Times New Roman" w:hAnsi="Calibri" w:cs="Arial"/>
              </w:rPr>
              <w:t>Detroit Millennium Garage Proceeds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37D77">
              <w:rPr>
                <w:rFonts w:ascii="Calibri" w:eastAsia="Times New Roman" w:hAnsi="Calibri" w:cs="Arial"/>
              </w:rPr>
              <w:t>$7.1</w:t>
            </w:r>
          </w:p>
        </w:tc>
      </w:tr>
      <w:tr w:rsidR="00D37D77" w:rsidRPr="00D37D77" w:rsidTr="00D37D77">
        <w:trPr>
          <w:trHeight w:val="288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37D77">
              <w:rPr>
                <w:rFonts w:ascii="Calibri" w:eastAsia="Times New Roman" w:hAnsi="Calibri" w:cs="Arial"/>
                <w:b/>
                <w:bCs/>
              </w:rPr>
              <w:t>City of Detroit Subtotal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37D77">
              <w:rPr>
                <w:rFonts w:ascii="Calibri" w:eastAsia="Times New Roman" w:hAnsi="Calibri" w:cs="Arial"/>
                <w:b/>
                <w:bCs/>
              </w:rPr>
              <w:t>$50.6</w:t>
            </w:r>
          </w:p>
        </w:tc>
      </w:tr>
      <w:tr w:rsidR="00D37D77" w:rsidRPr="00D37D77" w:rsidTr="00D37D77">
        <w:trPr>
          <w:trHeight w:val="288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37D77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37D77">
              <w:rPr>
                <w:rFonts w:ascii="Calibri" w:eastAsia="Times New Roman" w:hAnsi="Calibri" w:cs="Arial"/>
              </w:rPr>
              <w:t> </w:t>
            </w:r>
          </w:p>
        </w:tc>
      </w:tr>
      <w:tr w:rsidR="00D37D77" w:rsidRPr="00D37D77" w:rsidTr="00D37D77">
        <w:trPr>
          <w:trHeight w:val="288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37D77">
              <w:rPr>
                <w:rFonts w:ascii="Calibri" w:eastAsia="Times New Roman" w:hAnsi="Calibri" w:cs="Arial"/>
                <w:b/>
                <w:bCs/>
              </w:rPr>
              <w:t xml:space="preserve">Grants </w:t>
            </w:r>
            <w:r>
              <w:rPr>
                <w:rFonts w:ascii="Calibri" w:eastAsia="Times New Roman" w:hAnsi="Calibri" w:cs="Arial"/>
                <w:b/>
                <w:bCs/>
              </w:rPr>
              <w:t>&amp;</w:t>
            </w:r>
            <w:r w:rsidRPr="00D37D77">
              <w:rPr>
                <w:rFonts w:ascii="Calibri" w:eastAsia="Times New Roman" w:hAnsi="Calibri" w:cs="Arial"/>
                <w:b/>
                <w:bCs/>
              </w:rPr>
              <w:t xml:space="preserve"> Loans Requested from the State of Michigan for Site Improvement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37D77">
              <w:rPr>
                <w:rFonts w:ascii="Calibri" w:eastAsia="Times New Roman" w:hAnsi="Calibri" w:cs="Arial"/>
                <w:b/>
                <w:bCs/>
              </w:rPr>
              <w:t>$57.0</w:t>
            </w:r>
          </w:p>
        </w:tc>
      </w:tr>
      <w:tr w:rsidR="00D37D77" w:rsidRPr="00D37D77" w:rsidTr="00D37D77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37D77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37D77">
              <w:rPr>
                <w:rFonts w:ascii="Calibri" w:eastAsia="Times New Roman" w:hAnsi="Calibri" w:cs="Arial"/>
              </w:rPr>
              <w:t> </w:t>
            </w:r>
          </w:p>
        </w:tc>
      </w:tr>
      <w:tr w:rsidR="00D37D77" w:rsidRPr="00D37D77" w:rsidTr="00D37D77">
        <w:trPr>
          <w:trHeight w:val="288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37D77">
              <w:rPr>
                <w:rFonts w:ascii="Calibri" w:eastAsia="Times New Roman" w:hAnsi="Calibri" w:cs="Arial"/>
                <w:b/>
                <w:bCs/>
              </w:rPr>
              <w:t>Total Project Fund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37D77" w:rsidRPr="00D37D77" w:rsidRDefault="00D37D77" w:rsidP="00D37D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37D77">
              <w:rPr>
                <w:rFonts w:ascii="Calibri" w:eastAsia="Times New Roman" w:hAnsi="Calibri" w:cs="Arial"/>
                <w:b/>
                <w:bCs/>
              </w:rPr>
              <w:t>$107.6</w:t>
            </w:r>
          </w:p>
        </w:tc>
      </w:tr>
    </w:tbl>
    <w:p w:rsidR="005E2F7C" w:rsidRDefault="005E2F7C">
      <w:pPr>
        <w:rPr>
          <w:sz w:val="24"/>
          <w:szCs w:val="24"/>
        </w:rPr>
      </w:pPr>
    </w:p>
    <w:p w:rsidR="005E2F7C" w:rsidRPr="00637C47" w:rsidRDefault="005E2F7C">
      <w:pPr>
        <w:rPr>
          <w:sz w:val="24"/>
          <w:szCs w:val="24"/>
        </w:rPr>
      </w:pPr>
    </w:p>
    <w:p w:rsidR="00637C47" w:rsidRPr="00637C47" w:rsidRDefault="00637C47" w:rsidP="00637C47">
      <w:pPr>
        <w:spacing w:after="0"/>
        <w:rPr>
          <w:rFonts w:ascii="Calibri" w:eastAsia="Times New Roman" w:hAnsi="Calibri" w:cs="Arial"/>
          <w:b/>
          <w:color w:val="000000"/>
          <w:sz w:val="28"/>
          <w:szCs w:val="28"/>
        </w:rPr>
      </w:pPr>
    </w:p>
    <w:p w:rsidR="00637C47" w:rsidRPr="00637C47" w:rsidRDefault="00637C47" w:rsidP="00637C47">
      <w:pPr>
        <w:spacing w:after="0"/>
        <w:jc w:val="center"/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</w:pPr>
      <w:r w:rsidRPr="00637C47"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  <w:t>Land Swap Contingency Obligation</w:t>
      </w:r>
    </w:p>
    <w:p w:rsidR="00637C47" w:rsidRDefault="00637C47" w:rsidP="00637C47">
      <w:pPr>
        <w:spacing w:after="0"/>
        <w:rPr>
          <w:rFonts w:ascii="Calibri" w:eastAsia="Times New Roman" w:hAnsi="Calibri" w:cs="Arial"/>
          <w:color w:val="000000"/>
          <w:sz w:val="24"/>
          <w:szCs w:val="24"/>
        </w:rPr>
      </w:pPr>
    </w:p>
    <w:p w:rsidR="00637C47" w:rsidRPr="00D37D77" w:rsidRDefault="00637C47" w:rsidP="00D37D77">
      <w:pPr>
        <w:rPr>
          <w:sz w:val="24"/>
          <w:szCs w:val="24"/>
        </w:rPr>
      </w:pPr>
      <w:r w:rsidRPr="00D37D77">
        <w:rPr>
          <w:sz w:val="24"/>
          <w:szCs w:val="24"/>
        </w:rPr>
        <w:t xml:space="preserve">The parties who are receiving the 155 acres of city-owned land in swaps have a due diligence period in order to determine whether the land has environmental, title, or other problems that would cause them not to accept the land in swap.  The </w:t>
      </w:r>
      <w:r w:rsidR="00D37D77" w:rsidRPr="00D37D77">
        <w:rPr>
          <w:sz w:val="24"/>
          <w:szCs w:val="24"/>
        </w:rPr>
        <w:t>C</w:t>
      </w:r>
      <w:r w:rsidRPr="00D37D77">
        <w:rPr>
          <w:sz w:val="24"/>
          <w:szCs w:val="24"/>
        </w:rPr>
        <w:t>ity has agreed to up to $20 million in contingency fund obligations in the event the due diligence review results in land swap parcels not being accepted.</w:t>
      </w:r>
    </w:p>
    <w:p w:rsidR="006959ED" w:rsidRDefault="006959ED"/>
    <w:sectPr w:rsidR="0069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BD"/>
    <w:rsid w:val="00300BF7"/>
    <w:rsid w:val="00330B6C"/>
    <w:rsid w:val="005A2B7C"/>
    <w:rsid w:val="005E2F7C"/>
    <w:rsid w:val="00637C47"/>
    <w:rsid w:val="006959ED"/>
    <w:rsid w:val="00750C7E"/>
    <w:rsid w:val="0081129A"/>
    <w:rsid w:val="00B618BD"/>
    <w:rsid w:val="00BF748F"/>
    <w:rsid w:val="00C105BA"/>
    <w:rsid w:val="00CF3444"/>
    <w:rsid w:val="00D37D77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99B44-CB4B-4F19-A559-A10838FE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Duggan</dc:creator>
  <cp:keywords/>
  <dc:description/>
  <cp:lastModifiedBy>John.Roach</cp:lastModifiedBy>
  <cp:revision>6</cp:revision>
  <dcterms:created xsi:type="dcterms:W3CDTF">2019-05-03T15:19:00Z</dcterms:created>
  <dcterms:modified xsi:type="dcterms:W3CDTF">2019-05-03T17:45:00Z</dcterms:modified>
</cp:coreProperties>
</file>