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B0B84" w:rsidRDefault="00AA2308">
      <w:pPr>
        <w:jc w:val="center"/>
        <w:rPr>
          <w:b/>
          <w:sz w:val="22"/>
          <w:szCs w:val="22"/>
          <w:u w:val="single"/>
        </w:rPr>
      </w:pPr>
      <w:r>
        <w:rPr>
          <w:b/>
          <w:sz w:val="22"/>
          <w:szCs w:val="22"/>
          <w:u w:val="single"/>
        </w:rPr>
        <w:t>EXHIBIT A</w:t>
      </w:r>
    </w:p>
    <w:p w14:paraId="00000002" w14:textId="77777777" w:rsidR="00DB0B84" w:rsidRDefault="00DB0B84">
      <w:pPr>
        <w:jc w:val="center"/>
        <w:rPr>
          <w:b/>
          <w:sz w:val="22"/>
          <w:szCs w:val="22"/>
          <w:u w:val="single"/>
        </w:rPr>
      </w:pPr>
    </w:p>
    <w:p w14:paraId="00000003" w14:textId="77777777" w:rsidR="00DB0B84" w:rsidRDefault="00AA2308">
      <w:pPr>
        <w:jc w:val="center"/>
        <w:rPr>
          <w:b/>
          <w:sz w:val="22"/>
          <w:szCs w:val="22"/>
        </w:rPr>
      </w:pPr>
      <w:r>
        <w:rPr>
          <w:b/>
          <w:sz w:val="22"/>
          <w:szCs w:val="22"/>
        </w:rPr>
        <w:t>SUMMARY OF FCA AGREEMENT</w:t>
      </w:r>
    </w:p>
    <w:p w14:paraId="00000004" w14:textId="77777777" w:rsidR="00DB0B84" w:rsidRDefault="00AA2308">
      <w:pPr>
        <w:jc w:val="center"/>
        <w:rPr>
          <w:b/>
          <w:sz w:val="22"/>
          <w:szCs w:val="22"/>
        </w:rPr>
      </w:pPr>
      <w:r>
        <w:rPr>
          <w:b/>
          <w:sz w:val="22"/>
          <w:szCs w:val="22"/>
        </w:rPr>
        <w:t xml:space="preserve">Agreement for the Development of the Mack Assembly Plant </w:t>
      </w:r>
    </w:p>
    <w:p w14:paraId="00000005" w14:textId="77777777" w:rsidR="00DB0B84" w:rsidRDefault="00DB0B84">
      <w:pPr>
        <w:rPr>
          <w:b/>
          <w:sz w:val="22"/>
          <w:szCs w:val="22"/>
          <w:u w:val="single"/>
        </w:rPr>
      </w:pPr>
    </w:p>
    <w:p w14:paraId="00000006" w14:textId="77777777" w:rsidR="00DB0B84" w:rsidRDefault="00DB0B84">
      <w:pPr>
        <w:jc w:val="both"/>
        <w:rPr>
          <w:sz w:val="22"/>
          <w:szCs w:val="22"/>
        </w:rPr>
      </w:pPr>
    </w:p>
    <w:p w14:paraId="00000007" w14:textId="77777777" w:rsidR="00DB0B84" w:rsidRDefault="00AA2308">
      <w:pPr>
        <w:jc w:val="both"/>
        <w:rPr>
          <w:b/>
          <w:i/>
          <w:sz w:val="22"/>
          <w:szCs w:val="22"/>
          <w:u w:val="single"/>
        </w:rPr>
      </w:pPr>
      <w:r>
        <w:rPr>
          <w:b/>
          <w:i/>
          <w:sz w:val="22"/>
          <w:szCs w:val="22"/>
          <w:u w:val="single"/>
        </w:rPr>
        <w:t>FCA’s Project:</w:t>
      </w:r>
    </w:p>
    <w:p w14:paraId="00000008" w14:textId="77777777" w:rsidR="00DB0B84" w:rsidRDefault="00DB0B84">
      <w:pPr>
        <w:pBdr>
          <w:top w:val="nil"/>
          <w:left w:val="nil"/>
          <w:bottom w:val="nil"/>
          <w:right w:val="nil"/>
          <w:between w:val="nil"/>
        </w:pBdr>
        <w:ind w:left="720" w:hanging="720"/>
        <w:jc w:val="both"/>
        <w:rPr>
          <w:color w:val="000000"/>
          <w:sz w:val="22"/>
          <w:szCs w:val="22"/>
        </w:rPr>
      </w:pPr>
    </w:p>
    <w:p w14:paraId="00000009" w14:textId="77777777" w:rsidR="00DB0B84" w:rsidRDefault="00AA2308">
      <w:pPr>
        <w:numPr>
          <w:ilvl w:val="0"/>
          <w:numId w:val="3"/>
        </w:numPr>
        <w:pBdr>
          <w:top w:val="nil"/>
          <w:left w:val="nil"/>
          <w:bottom w:val="nil"/>
          <w:right w:val="nil"/>
          <w:between w:val="nil"/>
        </w:pBdr>
        <w:ind w:left="360"/>
        <w:jc w:val="both"/>
        <w:rPr>
          <w:color w:val="000000"/>
          <w:sz w:val="22"/>
          <w:szCs w:val="22"/>
        </w:rPr>
      </w:pPr>
      <w:bookmarkStart w:id="0" w:name="_gjdgxs" w:colFirst="0" w:colLast="0"/>
      <w:bookmarkEnd w:id="0"/>
      <w:r>
        <w:rPr>
          <w:color w:val="000000"/>
          <w:sz w:val="22"/>
          <w:szCs w:val="22"/>
        </w:rPr>
        <w:t xml:space="preserve">FCA will complete construction and commence operations of the Mack Plant by no later than December 1, 2022 (under certain delay conditions, the deadline may be extended to December 1, 2023).  </w:t>
      </w:r>
    </w:p>
    <w:p w14:paraId="0000000A" w14:textId="77777777" w:rsidR="00DB0B84" w:rsidRDefault="00DB0B84">
      <w:pPr>
        <w:pBdr>
          <w:top w:val="nil"/>
          <w:left w:val="nil"/>
          <w:bottom w:val="nil"/>
          <w:right w:val="nil"/>
          <w:between w:val="nil"/>
        </w:pBdr>
        <w:ind w:left="360" w:hanging="720"/>
        <w:jc w:val="both"/>
        <w:rPr>
          <w:color w:val="000000"/>
          <w:sz w:val="22"/>
          <w:szCs w:val="22"/>
        </w:rPr>
      </w:pPr>
    </w:p>
    <w:p w14:paraId="0000000B" w14:textId="77777777" w:rsidR="00DB0B84" w:rsidRDefault="00AA2308">
      <w:pPr>
        <w:numPr>
          <w:ilvl w:val="0"/>
          <w:numId w:val="3"/>
        </w:numPr>
        <w:pBdr>
          <w:top w:val="nil"/>
          <w:left w:val="nil"/>
          <w:bottom w:val="nil"/>
          <w:right w:val="nil"/>
          <w:between w:val="nil"/>
        </w:pBdr>
        <w:ind w:left="360"/>
        <w:jc w:val="both"/>
        <w:rPr>
          <w:color w:val="000000"/>
          <w:sz w:val="22"/>
          <w:szCs w:val="22"/>
        </w:rPr>
      </w:pPr>
      <w:r>
        <w:rPr>
          <w:color w:val="000000"/>
          <w:sz w:val="22"/>
          <w:szCs w:val="22"/>
        </w:rPr>
        <w:t>The project is intended to create approximately 3,850 net new full-time employees in the operation of the Mack Plant</w:t>
      </w:r>
      <w:r>
        <w:rPr>
          <w:sz w:val="22"/>
          <w:szCs w:val="22"/>
        </w:rPr>
        <w:t>, plus another projected 1,100 jobs as part of the planned Jefferson North Assembly Plant retooling project.</w:t>
      </w:r>
    </w:p>
    <w:p w14:paraId="0000000C" w14:textId="77777777" w:rsidR="00DB0B84" w:rsidRDefault="00DB0B84">
      <w:pPr>
        <w:jc w:val="both"/>
        <w:rPr>
          <w:b/>
          <w:i/>
          <w:sz w:val="22"/>
          <w:szCs w:val="22"/>
          <w:u w:val="single"/>
        </w:rPr>
      </w:pPr>
    </w:p>
    <w:p w14:paraId="0000000D" w14:textId="77777777" w:rsidR="00DB0B84" w:rsidRDefault="00AA2308">
      <w:pPr>
        <w:jc w:val="both"/>
        <w:rPr>
          <w:b/>
          <w:i/>
          <w:sz w:val="22"/>
          <w:szCs w:val="22"/>
          <w:u w:val="single"/>
        </w:rPr>
      </w:pPr>
      <w:r>
        <w:rPr>
          <w:b/>
          <w:i/>
          <w:sz w:val="22"/>
          <w:szCs w:val="22"/>
          <w:u w:val="single"/>
        </w:rPr>
        <w:t xml:space="preserve">City/DBRA Land Assembly: </w:t>
      </w:r>
    </w:p>
    <w:p w14:paraId="0000000E" w14:textId="77777777" w:rsidR="00DB0B84" w:rsidRDefault="00DB0B84">
      <w:pPr>
        <w:jc w:val="both"/>
        <w:rPr>
          <w:b/>
          <w:i/>
          <w:sz w:val="22"/>
          <w:szCs w:val="22"/>
          <w:u w:val="single"/>
        </w:rPr>
      </w:pPr>
    </w:p>
    <w:p w14:paraId="0000000F" w14:textId="77777777" w:rsidR="00DB0B84" w:rsidRDefault="00AA2308">
      <w:pPr>
        <w:numPr>
          <w:ilvl w:val="0"/>
          <w:numId w:val="3"/>
        </w:numPr>
        <w:pBdr>
          <w:top w:val="nil"/>
          <w:left w:val="nil"/>
          <w:bottom w:val="nil"/>
          <w:right w:val="nil"/>
          <w:between w:val="nil"/>
        </w:pBdr>
        <w:ind w:left="360"/>
        <w:jc w:val="both"/>
        <w:rPr>
          <w:color w:val="000000"/>
          <w:sz w:val="22"/>
          <w:szCs w:val="22"/>
        </w:rPr>
      </w:pPr>
      <w:r>
        <w:rPr>
          <w:color w:val="000000"/>
          <w:sz w:val="22"/>
          <w:szCs w:val="22"/>
        </w:rPr>
        <w:t>Pur</w:t>
      </w:r>
      <w:r>
        <w:rPr>
          <w:color w:val="000000"/>
          <w:sz w:val="22"/>
          <w:szCs w:val="22"/>
        </w:rPr>
        <w:t>chase and Sale of Parcels: DBRA is delivering parcels in three categories: (1) delivering City-owned parcels to FCA; (2) purchasing a number of parcels from third parties, then conveying those parcels to FCA; (3), facilitating the transfer of parcels direc</w:t>
      </w:r>
      <w:r>
        <w:rPr>
          <w:color w:val="000000"/>
          <w:sz w:val="22"/>
          <w:szCs w:val="22"/>
        </w:rPr>
        <w:t xml:space="preserve">tly from third party owners to FCA, without entering the chain of title. </w:t>
      </w:r>
    </w:p>
    <w:p w14:paraId="00000010" w14:textId="77777777" w:rsidR="00DB0B84" w:rsidRDefault="00AA2308">
      <w:pPr>
        <w:numPr>
          <w:ilvl w:val="1"/>
          <w:numId w:val="3"/>
        </w:numPr>
        <w:pBdr>
          <w:top w:val="nil"/>
          <w:left w:val="nil"/>
          <w:bottom w:val="nil"/>
          <w:right w:val="nil"/>
          <w:between w:val="nil"/>
        </w:pBdr>
        <w:ind w:left="720"/>
        <w:jc w:val="both"/>
        <w:rPr>
          <w:color w:val="000000"/>
          <w:sz w:val="22"/>
          <w:szCs w:val="22"/>
        </w:rPr>
      </w:pPr>
      <w:r>
        <w:rPr>
          <w:color w:val="000000"/>
          <w:sz w:val="22"/>
          <w:szCs w:val="22"/>
        </w:rPr>
        <w:t>In connection with each parcel to be conveyed to FCA, the City/DBRA will facilitate rezoning (as necessary), conduct Phase I environmental studies and conduct additional environmenta</w:t>
      </w:r>
      <w:r>
        <w:rPr>
          <w:color w:val="000000"/>
          <w:sz w:val="22"/>
          <w:szCs w:val="22"/>
        </w:rPr>
        <w:t>l testing as directed by FCA.</w:t>
      </w:r>
    </w:p>
    <w:p w14:paraId="00000011" w14:textId="77777777" w:rsidR="00DB0B84" w:rsidRDefault="00AA2308">
      <w:pPr>
        <w:numPr>
          <w:ilvl w:val="1"/>
          <w:numId w:val="3"/>
        </w:numPr>
        <w:pBdr>
          <w:top w:val="nil"/>
          <w:left w:val="nil"/>
          <w:bottom w:val="nil"/>
          <w:right w:val="nil"/>
          <w:between w:val="nil"/>
        </w:pBdr>
        <w:ind w:left="720"/>
        <w:jc w:val="both"/>
        <w:rPr>
          <w:color w:val="000000"/>
          <w:sz w:val="22"/>
          <w:szCs w:val="22"/>
        </w:rPr>
      </w:pPr>
      <w:r>
        <w:rPr>
          <w:color w:val="000000"/>
          <w:sz w:val="22"/>
          <w:szCs w:val="22"/>
        </w:rPr>
        <w:t>DBRA will also conduct certain environmental remediation and site preparation activities on parcels to be delivered to FCA.</w:t>
      </w:r>
    </w:p>
    <w:p w14:paraId="00000012" w14:textId="77777777" w:rsidR="00DB0B84" w:rsidRDefault="00DB0B84">
      <w:pPr>
        <w:pBdr>
          <w:top w:val="nil"/>
          <w:left w:val="nil"/>
          <w:bottom w:val="nil"/>
          <w:right w:val="nil"/>
          <w:between w:val="nil"/>
        </w:pBdr>
        <w:ind w:left="360" w:hanging="720"/>
        <w:jc w:val="both"/>
        <w:rPr>
          <w:color w:val="000000"/>
          <w:sz w:val="22"/>
          <w:szCs w:val="22"/>
        </w:rPr>
      </w:pPr>
    </w:p>
    <w:p w14:paraId="00000013" w14:textId="77777777" w:rsidR="00DB0B84" w:rsidRDefault="00AA2308">
      <w:pPr>
        <w:numPr>
          <w:ilvl w:val="0"/>
          <w:numId w:val="3"/>
        </w:numPr>
        <w:pBdr>
          <w:top w:val="nil"/>
          <w:left w:val="nil"/>
          <w:bottom w:val="nil"/>
          <w:right w:val="nil"/>
          <w:between w:val="nil"/>
        </w:pBdr>
        <w:ind w:left="360"/>
        <w:jc w:val="both"/>
        <w:rPr>
          <w:color w:val="000000"/>
          <w:sz w:val="22"/>
          <w:szCs w:val="22"/>
        </w:rPr>
      </w:pPr>
      <w:r>
        <w:rPr>
          <w:color w:val="000000"/>
          <w:sz w:val="22"/>
          <w:szCs w:val="22"/>
        </w:rPr>
        <w:t xml:space="preserve">DBRA is also taking down the berm west of the Mack Plant property, immediately to the west of St. Jean Street, between East Warren Avenue and </w:t>
      </w:r>
      <w:proofErr w:type="spellStart"/>
      <w:r>
        <w:rPr>
          <w:color w:val="000000"/>
          <w:sz w:val="22"/>
          <w:szCs w:val="22"/>
        </w:rPr>
        <w:t>Kercheval</w:t>
      </w:r>
      <w:proofErr w:type="spellEnd"/>
      <w:r>
        <w:rPr>
          <w:color w:val="000000"/>
          <w:sz w:val="22"/>
          <w:szCs w:val="22"/>
        </w:rPr>
        <w:t xml:space="preserve"> Avenue, and will construct a sound barrier in its place, to better separate the plant campus from the ad</w:t>
      </w:r>
      <w:r>
        <w:rPr>
          <w:color w:val="000000"/>
          <w:sz w:val="22"/>
          <w:szCs w:val="22"/>
        </w:rPr>
        <w:t xml:space="preserve">jacent area and mitigate potential noise impacts </w:t>
      </w:r>
      <w:proofErr w:type="gramStart"/>
      <w:r>
        <w:rPr>
          <w:color w:val="000000"/>
          <w:sz w:val="22"/>
          <w:szCs w:val="22"/>
        </w:rPr>
        <w:t>from</w:t>
      </w:r>
      <w:proofErr w:type="gramEnd"/>
      <w:r>
        <w:rPr>
          <w:color w:val="000000"/>
          <w:sz w:val="22"/>
          <w:szCs w:val="22"/>
        </w:rPr>
        <w:t xml:space="preserve"> the project.</w:t>
      </w:r>
    </w:p>
    <w:p w14:paraId="00000014" w14:textId="77777777" w:rsidR="00DB0B84" w:rsidRDefault="00DB0B84">
      <w:pPr>
        <w:pBdr>
          <w:top w:val="nil"/>
          <w:left w:val="nil"/>
          <w:bottom w:val="nil"/>
          <w:right w:val="nil"/>
          <w:between w:val="nil"/>
        </w:pBdr>
        <w:ind w:left="720" w:hanging="720"/>
        <w:jc w:val="both"/>
        <w:rPr>
          <w:color w:val="000000"/>
          <w:sz w:val="22"/>
          <w:szCs w:val="22"/>
        </w:rPr>
      </w:pPr>
    </w:p>
    <w:p w14:paraId="00000015" w14:textId="77777777" w:rsidR="00DB0B84" w:rsidRDefault="00AA2308">
      <w:pPr>
        <w:numPr>
          <w:ilvl w:val="0"/>
          <w:numId w:val="3"/>
        </w:numPr>
        <w:pBdr>
          <w:top w:val="nil"/>
          <w:left w:val="nil"/>
          <w:bottom w:val="nil"/>
          <w:right w:val="nil"/>
          <w:between w:val="nil"/>
        </w:pBdr>
        <w:ind w:left="360"/>
        <w:jc w:val="both"/>
        <w:rPr>
          <w:color w:val="000000"/>
          <w:sz w:val="22"/>
          <w:szCs w:val="22"/>
        </w:rPr>
      </w:pPr>
      <w:r>
        <w:rPr>
          <w:color w:val="000000"/>
          <w:sz w:val="22"/>
          <w:szCs w:val="22"/>
        </w:rPr>
        <w:t xml:space="preserve">The City will vacate portions of St. Jean Street Avenue, as well as partial sections of the East </w:t>
      </w:r>
      <w:proofErr w:type="spellStart"/>
      <w:r>
        <w:rPr>
          <w:color w:val="000000"/>
          <w:sz w:val="22"/>
          <w:szCs w:val="22"/>
        </w:rPr>
        <w:t>Vernor</w:t>
      </w:r>
      <w:proofErr w:type="spellEnd"/>
      <w:r>
        <w:rPr>
          <w:color w:val="000000"/>
          <w:sz w:val="22"/>
          <w:szCs w:val="22"/>
        </w:rPr>
        <w:t xml:space="preserve"> Highway, Charlevoix Street, Goethe Street, Conner Lane and East Canfield Street righ</w:t>
      </w:r>
      <w:r>
        <w:rPr>
          <w:color w:val="000000"/>
          <w:sz w:val="22"/>
          <w:szCs w:val="22"/>
        </w:rPr>
        <w:t>ts of way so that those vacated rights of way can be incorporated into the project’s footprint.</w:t>
      </w:r>
    </w:p>
    <w:p w14:paraId="00000016" w14:textId="77777777" w:rsidR="00DB0B84" w:rsidRDefault="00DB0B84">
      <w:pPr>
        <w:jc w:val="both"/>
        <w:rPr>
          <w:sz w:val="22"/>
          <w:szCs w:val="22"/>
        </w:rPr>
      </w:pPr>
    </w:p>
    <w:p w14:paraId="00000017" w14:textId="77777777" w:rsidR="00DB0B84" w:rsidRDefault="00AA2308">
      <w:pPr>
        <w:jc w:val="both"/>
        <w:rPr>
          <w:b/>
          <w:i/>
          <w:sz w:val="22"/>
          <w:szCs w:val="22"/>
          <w:u w:val="single"/>
        </w:rPr>
      </w:pPr>
      <w:r>
        <w:rPr>
          <w:b/>
          <w:i/>
          <w:sz w:val="22"/>
          <w:szCs w:val="22"/>
          <w:u w:val="single"/>
        </w:rPr>
        <w:t>Workforce Commitments</w:t>
      </w:r>
      <w:r>
        <w:rPr>
          <w:sz w:val="22"/>
          <w:szCs w:val="22"/>
        </w:rPr>
        <w:t>:  Subject to collective bargaining commitments, FCA will use good faith efforts to provide Detroit residents the opportunity to apply for</w:t>
      </w:r>
      <w:r>
        <w:rPr>
          <w:sz w:val="22"/>
          <w:szCs w:val="22"/>
        </w:rPr>
        <w:t xml:space="preserve"> production jobs in accordance with the following:</w:t>
      </w:r>
    </w:p>
    <w:p w14:paraId="00000018" w14:textId="77777777" w:rsidR="00DB0B84" w:rsidRDefault="00DB0B84">
      <w:pPr>
        <w:pBdr>
          <w:top w:val="nil"/>
          <w:left w:val="nil"/>
          <w:bottom w:val="nil"/>
          <w:right w:val="nil"/>
          <w:between w:val="nil"/>
        </w:pBdr>
        <w:ind w:left="720" w:hanging="720"/>
        <w:jc w:val="both"/>
        <w:rPr>
          <w:color w:val="000000"/>
          <w:sz w:val="22"/>
          <w:szCs w:val="22"/>
        </w:rPr>
      </w:pPr>
    </w:p>
    <w:p w14:paraId="00000019" w14:textId="77777777" w:rsidR="00DB0B84" w:rsidRDefault="00AA2308">
      <w:pPr>
        <w:numPr>
          <w:ilvl w:val="0"/>
          <w:numId w:val="1"/>
        </w:numPr>
        <w:pBdr>
          <w:top w:val="nil"/>
          <w:left w:val="nil"/>
          <w:bottom w:val="nil"/>
          <w:right w:val="nil"/>
          <w:between w:val="nil"/>
        </w:pBdr>
        <w:ind w:left="360"/>
        <w:jc w:val="both"/>
        <w:rPr>
          <w:color w:val="000000"/>
          <w:sz w:val="22"/>
          <w:szCs w:val="22"/>
        </w:rPr>
      </w:pPr>
      <w:r>
        <w:rPr>
          <w:color w:val="000000"/>
          <w:sz w:val="22"/>
          <w:szCs w:val="22"/>
          <w:u w:val="single"/>
        </w:rPr>
        <w:t>Initial Application Process</w:t>
      </w:r>
      <w:r>
        <w:rPr>
          <w:color w:val="000000"/>
          <w:sz w:val="22"/>
          <w:szCs w:val="22"/>
        </w:rPr>
        <w:t xml:space="preserve">:  DESC has agreed to support aspects of FCA's talent needs as they relate to recruiting, pre-screening and vetting, and work-readiness training related to production jobs with </w:t>
      </w:r>
      <w:r>
        <w:rPr>
          <w:color w:val="000000"/>
          <w:sz w:val="22"/>
          <w:szCs w:val="22"/>
        </w:rPr>
        <w:t>a value of at least $2 million.</w:t>
      </w:r>
    </w:p>
    <w:p w14:paraId="0000001A" w14:textId="77777777" w:rsidR="00DB0B84" w:rsidRDefault="00DB0B84">
      <w:pPr>
        <w:pBdr>
          <w:top w:val="nil"/>
          <w:left w:val="nil"/>
          <w:bottom w:val="nil"/>
          <w:right w:val="nil"/>
          <w:between w:val="nil"/>
        </w:pBdr>
        <w:ind w:left="720" w:hanging="720"/>
        <w:jc w:val="both"/>
        <w:rPr>
          <w:color w:val="000000"/>
          <w:sz w:val="22"/>
          <w:szCs w:val="22"/>
        </w:rPr>
      </w:pPr>
    </w:p>
    <w:p w14:paraId="0000001B" w14:textId="77777777" w:rsidR="00DB0B84" w:rsidRDefault="00AA2308">
      <w:pPr>
        <w:numPr>
          <w:ilvl w:val="1"/>
          <w:numId w:val="1"/>
        </w:numPr>
        <w:pBdr>
          <w:top w:val="nil"/>
          <w:left w:val="nil"/>
          <w:bottom w:val="nil"/>
          <w:right w:val="nil"/>
          <w:between w:val="nil"/>
        </w:pBdr>
        <w:ind w:left="720"/>
        <w:jc w:val="both"/>
        <w:rPr>
          <w:color w:val="000000"/>
          <w:sz w:val="22"/>
          <w:szCs w:val="22"/>
        </w:rPr>
      </w:pPr>
      <w:r>
        <w:rPr>
          <w:color w:val="000000"/>
          <w:sz w:val="22"/>
          <w:szCs w:val="22"/>
        </w:rPr>
        <w:t>FCA will work with DESC to develop an initial application process that gives Detroit residents the opportunity to apply for production jobs, subject to FCA providing priority to UAW candidates.</w:t>
      </w:r>
    </w:p>
    <w:p w14:paraId="0000001C" w14:textId="77777777" w:rsidR="00DB0B84" w:rsidRDefault="00DB0B84">
      <w:pPr>
        <w:pBdr>
          <w:top w:val="nil"/>
          <w:left w:val="nil"/>
          <w:bottom w:val="nil"/>
          <w:right w:val="nil"/>
          <w:between w:val="nil"/>
        </w:pBdr>
        <w:ind w:left="720" w:hanging="720"/>
        <w:jc w:val="both"/>
        <w:rPr>
          <w:color w:val="000000"/>
          <w:sz w:val="22"/>
          <w:szCs w:val="22"/>
        </w:rPr>
      </w:pPr>
    </w:p>
    <w:p w14:paraId="0000001D" w14:textId="77777777" w:rsidR="00DB0B84" w:rsidRDefault="00AA2308">
      <w:pPr>
        <w:numPr>
          <w:ilvl w:val="1"/>
          <w:numId w:val="1"/>
        </w:numPr>
        <w:pBdr>
          <w:top w:val="nil"/>
          <w:left w:val="nil"/>
          <w:bottom w:val="nil"/>
          <w:right w:val="nil"/>
          <w:between w:val="nil"/>
        </w:pBdr>
        <w:ind w:left="720"/>
        <w:jc w:val="both"/>
        <w:rPr>
          <w:color w:val="000000"/>
          <w:sz w:val="22"/>
          <w:szCs w:val="22"/>
        </w:rPr>
      </w:pPr>
      <w:r>
        <w:rPr>
          <w:color w:val="000000"/>
          <w:sz w:val="22"/>
          <w:szCs w:val="22"/>
        </w:rPr>
        <w:t>Subject to priority being given to the UAW candidates, FCA will, in cooperation with DESC, open specified windows exclusively for Detroit residents (anticipated to be 1 - 2 weeks each) to apply for pr</w:t>
      </w:r>
      <w:bookmarkStart w:id="1" w:name="_GoBack"/>
      <w:bookmarkEnd w:id="1"/>
      <w:r>
        <w:rPr>
          <w:color w:val="000000"/>
          <w:sz w:val="22"/>
          <w:szCs w:val="22"/>
        </w:rPr>
        <w:t>oduction jobs (first, to Detroit residents who reside in</w:t>
      </w:r>
      <w:r>
        <w:rPr>
          <w:color w:val="000000"/>
          <w:sz w:val="22"/>
          <w:szCs w:val="22"/>
        </w:rPr>
        <w:t xml:space="preserve"> the geographic areas most impacted by the project due to their proximity to the Mack Plant, second, to all other Detroit residents, including individuals who have successfully completed the DESC readiness program as a result of a criminal conviction, or w</w:t>
      </w:r>
      <w:r>
        <w:rPr>
          <w:color w:val="000000"/>
          <w:sz w:val="22"/>
          <w:szCs w:val="22"/>
        </w:rPr>
        <w:t xml:space="preserve">ho are military veterans).  </w:t>
      </w:r>
    </w:p>
    <w:p w14:paraId="0000001E" w14:textId="77777777" w:rsidR="00DB0B84" w:rsidRDefault="00DB0B84">
      <w:pPr>
        <w:pBdr>
          <w:top w:val="nil"/>
          <w:left w:val="nil"/>
          <w:bottom w:val="nil"/>
          <w:right w:val="nil"/>
          <w:between w:val="nil"/>
        </w:pBdr>
        <w:ind w:left="720" w:hanging="720"/>
        <w:jc w:val="both"/>
        <w:rPr>
          <w:color w:val="000000"/>
          <w:sz w:val="22"/>
          <w:szCs w:val="22"/>
        </w:rPr>
      </w:pPr>
    </w:p>
    <w:p w14:paraId="0000001F" w14:textId="77777777" w:rsidR="00DB0B84" w:rsidRDefault="00AA2308">
      <w:pPr>
        <w:numPr>
          <w:ilvl w:val="0"/>
          <w:numId w:val="1"/>
        </w:numPr>
        <w:pBdr>
          <w:top w:val="nil"/>
          <w:left w:val="nil"/>
          <w:bottom w:val="nil"/>
          <w:right w:val="nil"/>
          <w:between w:val="nil"/>
        </w:pBdr>
        <w:ind w:left="360"/>
        <w:jc w:val="both"/>
        <w:rPr>
          <w:color w:val="000000"/>
          <w:sz w:val="22"/>
          <w:szCs w:val="22"/>
        </w:rPr>
      </w:pPr>
      <w:r>
        <w:rPr>
          <w:color w:val="000000"/>
          <w:sz w:val="22"/>
          <w:szCs w:val="22"/>
          <w:u w:val="single"/>
        </w:rPr>
        <w:lastRenderedPageBreak/>
        <w:t>Hiring After Initial Application Process</w:t>
      </w:r>
      <w:r>
        <w:rPr>
          <w:color w:val="000000"/>
          <w:sz w:val="22"/>
          <w:szCs w:val="22"/>
        </w:rPr>
        <w:t>:   After the initial application process is completed, FCA will consider continuing to provide the above-referenced application priorities for DESC candidates if FCA and DESC mutually agree in writing on the terms of such, including DESC continuing to pro</w:t>
      </w:r>
      <w:r>
        <w:rPr>
          <w:color w:val="000000"/>
          <w:sz w:val="22"/>
          <w:szCs w:val="22"/>
        </w:rPr>
        <w:t>vide in-kind support services to FCA.</w:t>
      </w:r>
    </w:p>
    <w:p w14:paraId="00000020" w14:textId="77777777" w:rsidR="00DB0B84" w:rsidRDefault="00DB0B84">
      <w:pPr>
        <w:jc w:val="both"/>
        <w:rPr>
          <w:sz w:val="22"/>
          <w:szCs w:val="22"/>
        </w:rPr>
      </w:pPr>
    </w:p>
    <w:p w14:paraId="00000021" w14:textId="77777777" w:rsidR="00DB0B84" w:rsidRDefault="00AA2308">
      <w:pPr>
        <w:jc w:val="both"/>
        <w:rPr>
          <w:b/>
          <w:i/>
          <w:sz w:val="22"/>
          <w:szCs w:val="22"/>
          <w:u w:val="single"/>
        </w:rPr>
      </w:pPr>
      <w:r>
        <w:rPr>
          <w:b/>
          <w:i/>
          <w:sz w:val="22"/>
          <w:szCs w:val="22"/>
          <w:u w:val="single"/>
        </w:rPr>
        <w:t>Financial Commitments</w:t>
      </w:r>
      <w:r>
        <w:rPr>
          <w:b/>
          <w:i/>
          <w:sz w:val="22"/>
          <w:szCs w:val="22"/>
        </w:rPr>
        <w:t>:</w:t>
      </w:r>
    </w:p>
    <w:p w14:paraId="00000022" w14:textId="77777777" w:rsidR="00DB0B84" w:rsidRDefault="00DB0B84">
      <w:pPr>
        <w:jc w:val="both"/>
        <w:rPr>
          <w:b/>
          <w:i/>
          <w:sz w:val="22"/>
          <w:szCs w:val="22"/>
          <w:u w:val="single"/>
        </w:rPr>
      </w:pPr>
    </w:p>
    <w:p w14:paraId="00000023" w14:textId="77777777" w:rsidR="00DB0B84" w:rsidRDefault="00AA2308">
      <w:pPr>
        <w:numPr>
          <w:ilvl w:val="0"/>
          <w:numId w:val="4"/>
        </w:numPr>
        <w:pBdr>
          <w:top w:val="nil"/>
          <w:left w:val="nil"/>
          <w:bottom w:val="nil"/>
          <w:right w:val="nil"/>
          <w:between w:val="nil"/>
        </w:pBdr>
        <w:ind w:left="360"/>
        <w:jc w:val="both"/>
        <w:rPr>
          <w:color w:val="000000"/>
          <w:sz w:val="22"/>
          <w:szCs w:val="22"/>
        </w:rPr>
      </w:pPr>
      <w:r>
        <w:rPr>
          <w:color w:val="000000"/>
          <w:sz w:val="22"/>
          <w:szCs w:val="22"/>
        </w:rPr>
        <w:t xml:space="preserve">FCA has projected a $1.6 billion investment in the Mack Plant, and a $900 million investment in the Jefferson North Assembly Plant. </w:t>
      </w:r>
    </w:p>
    <w:p w14:paraId="00000024" w14:textId="77777777" w:rsidR="00DB0B84" w:rsidRDefault="00DB0B84">
      <w:pPr>
        <w:pBdr>
          <w:top w:val="nil"/>
          <w:left w:val="nil"/>
          <w:bottom w:val="nil"/>
          <w:right w:val="nil"/>
          <w:between w:val="nil"/>
        </w:pBdr>
        <w:ind w:left="360" w:hanging="720"/>
        <w:jc w:val="both"/>
        <w:rPr>
          <w:color w:val="000000"/>
          <w:sz w:val="22"/>
          <w:szCs w:val="22"/>
        </w:rPr>
      </w:pPr>
    </w:p>
    <w:p w14:paraId="00000025" w14:textId="77777777" w:rsidR="00DB0B84" w:rsidRDefault="00AA2308">
      <w:pPr>
        <w:numPr>
          <w:ilvl w:val="0"/>
          <w:numId w:val="4"/>
        </w:numPr>
        <w:pBdr>
          <w:top w:val="nil"/>
          <w:left w:val="nil"/>
          <w:bottom w:val="nil"/>
          <w:right w:val="nil"/>
          <w:between w:val="nil"/>
        </w:pBdr>
        <w:ind w:left="360"/>
        <w:jc w:val="both"/>
        <w:rPr>
          <w:color w:val="000000"/>
          <w:sz w:val="22"/>
          <w:szCs w:val="22"/>
        </w:rPr>
      </w:pPr>
      <w:r>
        <w:rPr>
          <w:color w:val="000000"/>
          <w:sz w:val="22"/>
          <w:szCs w:val="22"/>
        </w:rPr>
        <w:t>The City, in part</w:t>
      </w:r>
      <w:r>
        <w:rPr>
          <w:sz w:val="22"/>
          <w:szCs w:val="22"/>
        </w:rPr>
        <w:t>nership with the State, has</w:t>
      </w:r>
      <w:r>
        <w:rPr>
          <w:color w:val="000000"/>
          <w:sz w:val="22"/>
          <w:szCs w:val="22"/>
        </w:rPr>
        <w:t xml:space="preserve"> offered a</w:t>
      </w:r>
      <w:r>
        <w:rPr>
          <w:color w:val="000000"/>
          <w:sz w:val="22"/>
          <w:szCs w:val="22"/>
        </w:rPr>
        <w:t xml:space="preserve"> </w:t>
      </w:r>
      <w:r>
        <w:rPr>
          <w:color w:val="000000"/>
          <w:sz w:val="22"/>
          <w:szCs w:val="22"/>
        </w:rPr>
        <w:t>$107,590,000</w:t>
      </w:r>
      <w:r>
        <w:rPr>
          <w:color w:val="000000"/>
          <w:sz w:val="22"/>
          <w:szCs w:val="22"/>
          <w:vertAlign w:val="superscript"/>
        </w:rPr>
        <w:footnoteReference w:id="1"/>
      </w:r>
      <w:r>
        <w:rPr>
          <w:color w:val="000000"/>
          <w:sz w:val="22"/>
          <w:szCs w:val="22"/>
        </w:rPr>
        <w:t xml:space="preserve"> financial package,</w:t>
      </w:r>
      <w:r>
        <w:rPr>
          <w:color w:val="000000"/>
          <w:sz w:val="22"/>
          <w:szCs w:val="22"/>
        </w:rPr>
        <w:t xml:space="preserve"> which constitutes the “Municipal Project Funds” available for all activities under the Development Agreement.  </w:t>
      </w:r>
    </w:p>
    <w:p w14:paraId="00000026" w14:textId="77777777" w:rsidR="00DB0B84" w:rsidRDefault="00AA2308">
      <w:pPr>
        <w:numPr>
          <w:ilvl w:val="1"/>
          <w:numId w:val="4"/>
        </w:numPr>
        <w:pBdr>
          <w:top w:val="nil"/>
          <w:left w:val="nil"/>
          <w:bottom w:val="nil"/>
          <w:right w:val="nil"/>
          <w:between w:val="nil"/>
        </w:pBdr>
        <w:ind w:left="720"/>
        <w:jc w:val="both"/>
        <w:rPr>
          <w:color w:val="000000"/>
          <w:sz w:val="22"/>
          <w:szCs w:val="22"/>
        </w:rPr>
      </w:pPr>
      <w:r>
        <w:rPr>
          <w:color w:val="000000"/>
          <w:sz w:val="22"/>
          <w:szCs w:val="22"/>
        </w:rPr>
        <w:t>The City’s cash contribution consists of $36 million of City bond proceeds, $</w:t>
      </w:r>
      <w:r>
        <w:rPr>
          <w:sz w:val="22"/>
          <w:szCs w:val="22"/>
        </w:rPr>
        <w:t xml:space="preserve">7.09 million </w:t>
      </w:r>
      <w:r>
        <w:rPr>
          <w:color w:val="000000"/>
          <w:sz w:val="22"/>
          <w:szCs w:val="22"/>
        </w:rPr>
        <w:t>in funds available fr</w:t>
      </w:r>
      <w:r>
        <w:rPr>
          <w:color w:val="000000"/>
          <w:sz w:val="22"/>
          <w:szCs w:val="22"/>
        </w:rPr>
        <w:t>om asset sales and a $7.5 million loan to the DBRA, payable from TIF revenues.</w:t>
      </w:r>
    </w:p>
    <w:p w14:paraId="00000027" w14:textId="77777777" w:rsidR="00DB0B84" w:rsidRDefault="00AA2308">
      <w:pPr>
        <w:numPr>
          <w:ilvl w:val="1"/>
          <w:numId w:val="4"/>
        </w:numPr>
        <w:pBdr>
          <w:top w:val="nil"/>
          <w:left w:val="nil"/>
          <w:bottom w:val="nil"/>
          <w:right w:val="nil"/>
          <w:between w:val="nil"/>
        </w:pBdr>
        <w:ind w:left="720"/>
        <w:jc w:val="both"/>
        <w:rPr>
          <w:color w:val="000000"/>
          <w:sz w:val="22"/>
          <w:szCs w:val="22"/>
        </w:rPr>
      </w:pPr>
      <w:r>
        <w:rPr>
          <w:sz w:val="22"/>
          <w:szCs w:val="22"/>
        </w:rPr>
        <w:t xml:space="preserve">The City has requested $57 million in grants and loans from the State to support site preparation. </w:t>
      </w:r>
    </w:p>
    <w:p w14:paraId="00000028" w14:textId="77777777" w:rsidR="00DB0B84" w:rsidRDefault="00DB0B84">
      <w:pPr>
        <w:pBdr>
          <w:top w:val="nil"/>
          <w:left w:val="nil"/>
          <w:bottom w:val="nil"/>
          <w:right w:val="nil"/>
          <w:between w:val="nil"/>
        </w:pBdr>
        <w:ind w:left="720" w:hanging="720"/>
        <w:jc w:val="both"/>
        <w:rPr>
          <w:color w:val="000000"/>
          <w:sz w:val="22"/>
          <w:szCs w:val="22"/>
        </w:rPr>
      </w:pPr>
    </w:p>
    <w:p w14:paraId="00000029" w14:textId="77777777" w:rsidR="00DB0B84" w:rsidRDefault="00AA2308">
      <w:pPr>
        <w:numPr>
          <w:ilvl w:val="0"/>
          <w:numId w:val="4"/>
        </w:numPr>
        <w:pBdr>
          <w:top w:val="nil"/>
          <w:left w:val="nil"/>
          <w:bottom w:val="nil"/>
          <w:right w:val="nil"/>
          <w:between w:val="nil"/>
        </w:pBdr>
        <w:ind w:left="360"/>
        <w:jc w:val="both"/>
        <w:rPr>
          <w:color w:val="000000"/>
          <w:sz w:val="22"/>
          <w:szCs w:val="22"/>
        </w:rPr>
      </w:pPr>
      <w:r>
        <w:rPr>
          <w:color w:val="000000"/>
          <w:sz w:val="22"/>
          <w:szCs w:val="22"/>
        </w:rPr>
        <w:t>In addition, the City has contributed approxi</w:t>
      </w:r>
      <w:r>
        <w:rPr>
          <w:sz w:val="22"/>
          <w:szCs w:val="22"/>
        </w:rPr>
        <w:t xml:space="preserve">mately </w:t>
      </w:r>
      <w:r>
        <w:rPr>
          <w:color w:val="000000"/>
          <w:sz w:val="22"/>
          <w:szCs w:val="22"/>
        </w:rPr>
        <w:t>$14.</w:t>
      </w:r>
      <w:r>
        <w:rPr>
          <w:sz w:val="22"/>
          <w:szCs w:val="22"/>
        </w:rPr>
        <w:t>35</w:t>
      </w:r>
      <w:r>
        <w:rPr>
          <w:color w:val="000000"/>
          <w:sz w:val="22"/>
          <w:szCs w:val="22"/>
        </w:rPr>
        <w:t xml:space="preserve"> million worth of land for land exchanges to acquire certain parcels for contribution to the project.</w:t>
      </w:r>
    </w:p>
    <w:p w14:paraId="0000002A" w14:textId="77777777" w:rsidR="00DB0B84" w:rsidRDefault="00DB0B84">
      <w:pPr>
        <w:jc w:val="both"/>
        <w:rPr>
          <w:sz w:val="22"/>
          <w:szCs w:val="22"/>
        </w:rPr>
      </w:pPr>
    </w:p>
    <w:p w14:paraId="0000002B" w14:textId="77777777" w:rsidR="00DB0B84" w:rsidRDefault="00AA2308">
      <w:pPr>
        <w:jc w:val="both"/>
        <w:rPr>
          <w:b/>
          <w:i/>
          <w:sz w:val="22"/>
          <w:szCs w:val="22"/>
        </w:rPr>
      </w:pPr>
      <w:r>
        <w:rPr>
          <w:b/>
          <w:i/>
          <w:sz w:val="22"/>
          <w:szCs w:val="22"/>
          <w:u w:val="single"/>
        </w:rPr>
        <w:t>Remedies/Repayments to the City/DBRA</w:t>
      </w:r>
      <w:r>
        <w:rPr>
          <w:b/>
          <w:i/>
          <w:sz w:val="22"/>
          <w:szCs w:val="22"/>
        </w:rPr>
        <w:t>:</w:t>
      </w:r>
    </w:p>
    <w:p w14:paraId="0000002C" w14:textId="77777777" w:rsidR="00DB0B84" w:rsidRDefault="00DB0B84">
      <w:pPr>
        <w:jc w:val="both"/>
        <w:rPr>
          <w:sz w:val="22"/>
          <w:szCs w:val="22"/>
        </w:rPr>
      </w:pPr>
    </w:p>
    <w:p w14:paraId="0000002D" w14:textId="77777777" w:rsidR="00DB0B84" w:rsidRDefault="00AA2308">
      <w:pPr>
        <w:numPr>
          <w:ilvl w:val="0"/>
          <w:numId w:val="2"/>
        </w:numPr>
        <w:pBdr>
          <w:top w:val="nil"/>
          <w:left w:val="nil"/>
          <w:bottom w:val="nil"/>
          <w:right w:val="nil"/>
          <w:between w:val="nil"/>
        </w:pBdr>
        <w:jc w:val="both"/>
        <w:rPr>
          <w:color w:val="000000"/>
          <w:sz w:val="22"/>
          <w:szCs w:val="22"/>
        </w:rPr>
      </w:pPr>
      <w:r>
        <w:rPr>
          <w:color w:val="000000"/>
          <w:sz w:val="22"/>
          <w:szCs w:val="22"/>
        </w:rPr>
        <w:t>FCA has agreed to report the various revenues produced by the project in the form of City income tax from new jobs</w:t>
      </w:r>
      <w:r>
        <w:rPr>
          <w:color w:val="000000"/>
          <w:sz w:val="22"/>
          <w:szCs w:val="22"/>
        </w:rPr>
        <w:t>, property tax increases (net of abatements and TIF capture), and growth in corporate City income tax as a result of expanded operations.</w:t>
      </w:r>
    </w:p>
    <w:p w14:paraId="0000002E" w14:textId="77777777" w:rsidR="00DB0B84" w:rsidRDefault="00AA2308">
      <w:pPr>
        <w:pBdr>
          <w:top w:val="nil"/>
          <w:left w:val="nil"/>
          <w:bottom w:val="nil"/>
          <w:right w:val="nil"/>
          <w:between w:val="nil"/>
        </w:pBdr>
        <w:ind w:left="360" w:hanging="720"/>
        <w:jc w:val="both"/>
        <w:rPr>
          <w:color w:val="000000"/>
          <w:sz w:val="22"/>
          <w:szCs w:val="22"/>
        </w:rPr>
      </w:pPr>
      <w:r>
        <w:rPr>
          <w:color w:val="000000"/>
          <w:sz w:val="22"/>
          <w:szCs w:val="22"/>
        </w:rPr>
        <w:t xml:space="preserve">  </w:t>
      </w:r>
    </w:p>
    <w:p w14:paraId="0000002F" w14:textId="77777777" w:rsidR="00DB0B84" w:rsidRDefault="00AA2308">
      <w:pPr>
        <w:numPr>
          <w:ilvl w:val="1"/>
          <w:numId w:val="2"/>
        </w:numPr>
        <w:pBdr>
          <w:top w:val="nil"/>
          <w:left w:val="nil"/>
          <w:bottom w:val="nil"/>
          <w:right w:val="nil"/>
          <w:between w:val="nil"/>
        </w:pBdr>
        <w:jc w:val="both"/>
        <w:rPr>
          <w:color w:val="000000"/>
          <w:sz w:val="22"/>
          <w:szCs w:val="22"/>
        </w:rPr>
      </w:pPr>
      <w:r>
        <w:rPr>
          <w:color w:val="000000"/>
          <w:sz w:val="22"/>
          <w:szCs w:val="22"/>
        </w:rPr>
        <w:t xml:space="preserve">If the City does not recoup </w:t>
      </w:r>
      <w:proofErr w:type="gramStart"/>
      <w:r>
        <w:rPr>
          <w:color w:val="000000"/>
          <w:sz w:val="22"/>
          <w:szCs w:val="22"/>
        </w:rPr>
        <w:t>its</w:t>
      </w:r>
      <w:proofErr w:type="gramEnd"/>
      <w:r>
        <w:rPr>
          <w:color w:val="000000"/>
          <w:sz w:val="22"/>
          <w:szCs w:val="22"/>
        </w:rPr>
        <w:t xml:space="preserve"> approximately $5</w:t>
      </w:r>
      <w:r>
        <w:rPr>
          <w:sz w:val="22"/>
          <w:szCs w:val="22"/>
        </w:rPr>
        <w:t>7.4</w:t>
      </w:r>
      <w:r>
        <w:rPr>
          <w:color w:val="000000"/>
          <w:sz w:val="22"/>
          <w:szCs w:val="22"/>
        </w:rPr>
        <w:t xml:space="preserve"> million direct investment</w:t>
      </w:r>
      <w:r>
        <w:rPr>
          <w:sz w:val="22"/>
          <w:szCs w:val="22"/>
        </w:rPr>
        <w:t xml:space="preserve"> (</w:t>
      </w:r>
      <w:r>
        <w:rPr>
          <w:color w:val="000000"/>
          <w:sz w:val="22"/>
          <w:szCs w:val="22"/>
        </w:rPr>
        <w:t>$4</w:t>
      </w:r>
      <w:r>
        <w:rPr>
          <w:sz w:val="22"/>
          <w:szCs w:val="22"/>
        </w:rPr>
        <w:t>3.09 million</w:t>
      </w:r>
      <w:r>
        <w:rPr>
          <w:color w:val="000000"/>
          <w:sz w:val="22"/>
          <w:szCs w:val="22"/>
        </w:rPr>
        <w:t xml:space="preserve"> in cash gra</w:t>
      </w:r>
      <w:r>
        <w:rPr>
          <w:sz w:val="22"/>
          <w:szCs w:val="22"/>
        </w:rPr>
        <w:t>nted</w:t>
      </w:r>
      <w:r>
        <w:rPr>
          <w:color w:val="000000"/>
          <w:sz w:val="22"/>
          <w:szCs w:val="22"/>
        </w:rPr>
        <w:t>, $14</w:t>
      </w:r>
      <w:r>
        <w:rPr>
          <w:sz w:val="22"/>
          <w:szCs w:val="22"/>
        </w:rPr>
        <w:t>.35 million</w:t>
      </w:r>
      <w:r>
        <w:rPr>
          <w:color w:val="000000"/>
          <w:sz w:val="22"/>
          <w:szCs w:val="22"/>
        </w:rPr>
        <w:t xml:space="preserve"> in land) </w:t>
      </w:r>
      <w:r>
        <w:rPr>
          <w:color w:val="000000"/>
          <w:sz w:val="22"/>
          <w:szCs w:val="22"/>
        </w:rPr>
        <w:t>within thirty years, FCA will pay the City the shortfall.</w:t>
      </w:r>
    </w:p>
    <w:p w14:paraId="00000030" w14:textId="77777777" w:rsidR="00DB0B84" w:rsidRDefault="00DB0B84">
      <w:pPr>
        <w:pBdr>
          <w:top w:val="nil"/>
          <w:left w:val="nil"/>
          <w:bottom w:val="nil"/>
          <w:right w:val="nil"/>
          <w:between w:val="nil"/>
        </w:pBdr>
        <w:ind w:left="360" w:hanging="720"/>
        <w:jc w:val="both"/>
        <w:rPr>
          <w:color w:val="000000"/>
          <w:sz w:val="22"/>
          <w:szCs w:val="22"/>
        </w:rPr>
      </w:pPr>
    </w:p>
    <w:p w14:paraId="00000031" w14:textId="77777777" w:rsidR="00DB0B84" w:rsidRDefault="00AA2308">
      <w:pPr>
        <w:numPr>
          <w:ilvl w:val="0"/>
          <w:numId w:val="2"/>
        </w:numPr>
        <w:pBdr>
          <w:top w:val="nil"/>
          <w:left w:val="nil"/>
          <w:bottom w:val="nil"/>
          <w:right w:val="nil"/>
          <w:between w:val="nil"/>
        </w:pBdr>
        <w:jc w:val="both"/>
        <w:rPr>
          <w:color w:val="000000"/>
          <w:sz w:val="22"/>
          <w:szCs w:val="22"/>
        </w:rPr>
      </w:pPr>
      <w:r>
        <w:rPr>
          <w:color w:val="000000"/>
          <w:sz w:val="22"/>
          <w:szCs w:val="22"/>
        </w:rPr>
        <w:t>If FCA does not commence operations of the Mack Plant by December 1, 2023 (and its failure is confirmed through the arbitration process built in to the document) title to the c</w:t>
      </w:r>
      <w:r>
        <w:rPr>
          <w:color w:val="000000"/>
          <w:sz w:val="22"/>
          <w:szCs w:val="22"/>
        </w:rPr>
        <w:t xml:space="preserve">ontributed property may re-vest in the DBRA by either (1) a right of </w:t>
      </w:r>
      <w:proofErr w:type="spellStart"/>
      <w:r>
        <w:rPr>
          <w:color w:val="000000"/>
          <w:sz w:val="22"/>
          <w:szCs w:val="22"/>
        </w:rPr>
        <w:t>reverter</w:t>
      </w:r>
      <w:proofErr w:type="spellEnd"/>
      <w:r>
        <w:rPr>
          <w:color w:val="000000"/>
          <w:sz w:val="22"/>
          <w:szCs w:val="22"/>
        </w:rPr>
        <w:t xml:space="preserve">, with respect to properties that are conveyed by the DBRA or (2) the enforcement of a “Grant of Rights” which functions like a </w:t>
      </w:r>
      <w:proofErr w:type="spellStart"/>
      <w:r>
        <w:rPr>
          <w:color w:val="000000"/>
          <w:sz w:val="22"/>
          <w:szCs w:val="22"/>
        </w:rPr>
        <w:t>reverter</w:t>
      </w:r>
      <w:proofErr w:type="spellEnd"/>
      <w:r>
        <w:rPr>
          <w:color w:val="000000"/>
          <w:sz w:val="22"/>
          <w:szCs w:val="22"/>
        </w:rPr>
        <w:t>, but with respect to property conveyed dir</w:t>
      </w:r>
      <w:r>
        <w:rPr>
          <w:color w:val="000000"/>
          <w:sz w:val="22"/>
          <w:szCs w:val="22"/>
        </w:rPr>
        <w:t>ectly by third parties to FCA.</w:t>
      </w:r>
    </w:p>
    <w:p w14:paraId="00000032" w14:textId="77777777" w:rsidR="00DB0B84" w:rsidRDefault="00DB0B84">
      <w:pPr>
        <w:pBdr>
          <w:top w:val="nil"/>
          <w:left w:val="nil"/>
          <w:bottom w:val="nil"/>
          <w:right w:val="nil"/>
          <w:between w:val="nil"/>
        </w:pBdr>
        <w:ind w:left="360" w:hanging="720"/>
        <w:jc w:val="both"/>
        <w:rPr>
          <w:color w:val="000000"/>
          <w:sz w:val="22"/>
          <w:szCs w:val="22"/>
        </w:rPr>
      </w:pPr>
    </w:p>
    <w:p w14:paraId="00000033" w14:textId="77777777" w:rsidR="00DB0B84" w:rsidRDefault="00AA2308">
      <w:pPr>
        <w:numPr>
          <w:ilvl w:val="0"/>
          <w:numId w:val="2"/>
        </w:numPr>
        <w:pBdr>
          <w:top w:val="nil"/>
          <w:left w:val="nil"/>
          <w:bottom w:val="nil"/>
          <w:right w:val="nil"/>
          <w:between w:val="nil"/>
        </w:pBdr>
        <w:jc w:val="both"/>
        <w:rPr>
          <w:color w:val="000000"/>
          <w:sz w:val="22"/>
          <w:szCs w:val="22"/>
        </w:rPr>
      </w:pPr>
      <w:r>
        <w:rPr>
          <w:color w:val="000000"/>
          <w:sz w:val="22"/>
          <w:szCs w:val="22"/>
        </w:rPr>
        <w:t>If FCA (prior to the City’s recoupment of its investment or within 15 years, whichever is later) ceases operations of the plant for a period of sixty (60) consecutive months, the DBRA has the opportunity to re-purchase a 58-</w:t>
      </w:r>
      <w:r>
        <w:rPr>
          <w:color w:val="000000"/>
          <w:sz w:val="22"/>
          <w:szCs w:val="22"/>
        </w:rPr>
        <w:t xml:space="preserve">acre assembling including the former </w:t>
      </w:r>
      <w:proofErr w:type="spellStart"/>
      <w:r>
        <w:rPr>
          <w:color w:val="000000"/>
          <w:sz w:val="22"/>
          <w:szCs w:val="22"/>
        </w:rPr>
        <w:t>Conners</w:t>
      </w:r>
      <w:proofErr w:type="spellEnd"/>
      <w:r>
        <w:rPr>
          <w:color w:val="000000"/>
          <w:sz w:val="22"/>
          <w:szCs w:val="22"/>
        </w:rPr>
        <w:t xml:space="preserve"> Creek Power Plant property for fair market value.</w:t>
      </w:r>
    </w:p>
    <w:p w14:paraId="00000034" w14:textId="77777777" w:rsidR="00DB0B84" w:rsidRDefault="00DB0B84">
      <w:pPr>
        <w:pBdr>
          <w:top w:val="nil"/>
          <w:left w:val="nil"/>
          <w:bottom w:val="nil"/>
          <w:right w:val="nil"/>
          <w:between w:val="nil"/>
        </w:pBdr>
        <w:ind w:left="360" w:hanging="720"/>
        <w:jc w:val="both"/>
        <w:rPr>
          <w:color w:val="000000"/>
          <w:sz w:val="22"/>
          <w:szCs w:val="22"/>
        </w:rPr>
      </w:pPr>
    </w:p>
    <w:p w14:paraId="00000035" w14:textId="77777777" w:rsidR="00DB0B84" w:rsidRDefault="00AA2308">
      <w:pPr>
        <w:numPr>
          <w:ilvl w:val="0"/>
          <w:numId w:val="2"/>
        </w:numPr>
        <w:pBdr>
          <w:top w:val="nil"/>
          <w:left w:val="nil"/>
          <w:bottom w:val="nil"/>
          <w:right w:val="nil"/>
          <w:between w:val="nil"/>
        </w:pBdr>
        <w:jc w:val="both"/>
        <w:rPr>
          <w:color w:val="000000"/>
          <w:sz w:val="22"/>
          <w:szCs w:val="22"/>
        </w:rPr>
      </w:pPr>
      <w:r>
        <w:rPr>
          <w:color w:val="000000"/>
          <w:sz w:val="22"/>
          <w:szCs w:val="22"/>
        </w:rPr>
        <w:t>If (prior to the City’s recoupment of its investment) FCA seeks to re-sell any parcels prior to the recoupment of the City’s investment, it must determine and n</w:t>
      </w:r>
      <w:r>
        <w:rPr>
          <w:color w:val="000000"/>
          <w:sz w:val="22"/>
          <w:szCs w:val="22"/>
        </w:rPr>
        <w:t xml:space="preserve">otify the DBRA that the sale will result in similar use of the property, or receive City approval.  In either case, the DBRA receives 75% of the sale proceeds.  </w:t>
      </w:r>
    </w:p>
    <w:p w14:paraId="00000036" w14:textId="77777777" w:rsidR="00DB0B84" w:rsidRDefault="00DB0B84"/>
    <w:sectPr w:rsidR="00DB0B84">
      <w:pgSz w:w="12240" w:h="15840"/>
      <w:pgMar w:top="1440" w:right="1440" w:bottom="990" w:left="1440" w:header="720" w:footer="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F88C" w14:textId="77777777" w:rsidR="00000000" w:rsidRDefault="00AA2308">
      <w:r>
        <w:separator/>
      </w:r>
    </w:p>
  </w:endnote>
  <w:endnote w:type="continuationSeparator" w:id="0">
    <w:p w14:paraId="38888356" w14:textId="77777777" w:rsidR="00000000" w:rsidRDefault="00AA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CD2B" w14:textId="77777777" w:rsidR="00000000" w:rsidRDefault="00AA2308">
      <w:r>
        <w:separator/>
      </w:r>
    </w:p>
  </w:footnote>
  <w:footnote w:type="continuationSeparator" w:id="0">
    <w:p w14:paraId="01050AFB" w14:textId="77777777" w:rsidR="00000000" w:rsidRDefault="00AA2308">
      <w:r>
        <w:continuationSeparator/>
      </w:r>
    </w:p>
  </w:footnote>
  <w:footnote w:id="1">
    <w:p w14:paraId="00000037" w14:textId="77777777" w:rsidR="00DB0B84" w:rsidRDefault="00AA23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State component only represents State funds </w:t>
      </w:r>
      <w:r>
        <w:rPr>
          <w:sz w:val="20"/>
          <w:szCs w:val="20"/>
        </w:rPr>
        <w:t xml:space="preserve">requested by the </w:t>
      </w:r>
      <w:r>
        <w:rPr>
          <w:color w:val="000000"/>
          <w:sz w:val="20"/>
          <w:szCs w:val="20"/>
        </w:rPr>
        <w:t xml:space="preserve">City in support of the project.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C29"/>
    <w:multiLevelType w:val="multilevel"/>
    <w:tmpl w:val="A9E2F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2C0AC8"/>
    <w:multiLevelType w:val="multilevel"/>
    <w:tmpl w:val="95985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6D1C99"/>
    <w:multiLevelType w:val="multilevel"/>
    <w:tmpl w:val="BF4C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93D5020"/>
    <w:multiLevelType w:val="multilevel"/>
    <w:tmpl w:val="297A9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84"/>
    <w:rsid w:val="00455FF2"/>
    <w:rsid w:val="00930289"/>
    <w:rsid w:val="00AA2308"/>
    <w:rsid w:val="00DB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E963-8543-434C-BB9C-E59B550A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ind w:left="4500"/>
      <w:jc w:val="center"/>
      <w:outlineLvl w:val="0"/>
    </w:pPr>
    <w:rPr>
      <w:b/>
      <w:smallCaps/>
    </w:rPr>
  </w:style>
  <w:style w:type="paragraph" w:styleId="Heading2">
    <w:name w:val="heading 2"/>
    <w:basedOn w:val="Normal"/>
    <w:next w:val="Normal"/>
    <w:pPr>
      <w:spacing w:after="240"/>
      <w:ind w:left="-1530" w:firstLine="720"/>
      <w:jc w:val="both"/>
      <w:outlineLvl w:val="1"/>
    </w:pPr>
  </w:style>
  <w:style w:type="paragraph" w:styleId="Heading3">
    <w:name w:val="heading 3"/>
    <w:basedOn w:val="Normal"/>
    <w:next w:val="Normal"/>
    <w:pPr>
      <w:spacing w:after="240"/>
      <w:ind w:left="-1530" w:firstLine="1440"/>
      <w:jc w:val="both"/>
      <w:outlineLvl w:val="2"/>
    </w:pPr>
  </w:style>
  <w:style w:type="paragraph" w:styleId="Heading4">
    <w:name w:val="heading 4"/>
    <w:basedOn w:val="Normal"/>
    <w:next w:val="Normal"/>
    <w:pPr>
      <w:spacing w:after="240"/>
      <w:ind w:left="-1530" w:firstLine="2160"/>
      <w:jc w:val="both"/>
      <w:outlineLvl w:val="3"/>
    </w:pPr>
  </w:style>
  <w:style w:type="paragraph" w:styleId="Heading5">
    <w:name w:val="heading 5"/>
    <w:basedOn w:val="Normal"/>
    <w:next w:val="Normal"/>
    <w:pPr>
      <w:spacing w:after="240"/>
      <w:ind w:left="-1530" w:firstLine="2880"/>
      <w:jc w:val="both"/>
      <w:outlineLvl w:val="4"/>
    </w:pPr>
  </w:style>
  <w:style w:type="paragraph" w:styleId="Heading6">
    <w:name w:val="heading 6"/>
    <w:basedOn w:val="Normal"/>
    <w:next w:val="Normal"/>
    <w:pPr>
      <w:spacing w:before="200"/>
      <w:ind w:left="-1530"/>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A2308"/>
    <w:pPr>
      <w:tabs>
        <w:tab w:val="center" w:pos="4680"/>
        <w:tab w:val="right" w:pos="9360"/>
      </w:tabs>
    </w:pPr>
  </w:style>
  <w:style w:type="character" w:customStyle="1" w:styleId="HeaderChar">
    <w:name w:val="Header Char"/>
    <w:basedOn w:val="DefaultParagraphFont"/>
    <w:link w:val="Header"/>
    <w:uiPriority w:val="99"/>
    <w:rsid w:val="00AA2308"/>
  </w:style>
  <w:style w:type="paragraph" w:styleId="Footer">
    <w:name w:val="footer"/>
    <w:basedOn w:val="Normal"/>
    <w:link w:val="FooterChar"/>
    <w:uiPriority w:val="99"/>
    <w:unhideWhenUsed/>
    <w:rsid w:val="00AA2308"/>
    <w:pPr>
      <w:tabs>
        <w:tab w:val="center" w:pos="4680"/>
        <w:tab w:val="right" w:pos="9360"/>
      </w:tabs>
    </w:pPr>
  </w:style>
  <w:style w:type="character" w:customStyle="1" w:styleId="FooterChar">
    <w:name w:val="Footer Char"/>
    <w:basedOn w:val="DefaultParagraphFont"/>
    <w:link w:val="Footer"/>
    <w:uiPriority w:val="99"/>
    <w:rsid w:val="00AA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Hammer</dc:creator>
  <cp:lastModifiedBy>Katherine Hammer</cp:lastModifiedBy>
  <cp:revision>3</cp:revision>
  <dcterms:created xsi:type="dcterms:W3CDTF">2019-05-03T19:30:00Z</dcterms:created>
  <dcterms:modified xsi:type="dcterms:W3CDTF">2019-05-03T19:31:00Z</dcterms:modified>
</cp:coreProperties>
</file>